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B2" w:rsidRDefault="00703CB2" w:rsidP="00703CB2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703CB2" w:rsidRDefault="00703CB2" w:rsidP="00703CB2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703CB2" w:rsidRPr="002C6D32" w:rsidRDefault="00703CB2" w:rsidP="00703CB2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2C6D32">
        <w:rPr>
          <w:rFonts w:ascii="Times New Roman" w:hAnsi="Times New Roman" w:cs="Times New Roman"/>
          <w:b w:val="0"/>
          <w:szCs w:val="26"/>
        </w:rPr>
        <w:t>Приложение 2</w:t>
      </w:r>
    </w:p>
    <w:p w:rsidR="00703CB2" w:rsidRPr="002C6D32" w:rsidRDefault="00703CB2" w:rsidP="00703CB2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2C6D32">
        <w:rPr>
          <w:rFonts w:ascii="Times New Roman" w:hAnsi="Times New Roman" w:cs="Times New Roman"/>
          <w:b w:val="0"/>
          <w:szCs w:val="26"/>
        </w:rPr>
        <w:t xml:space="preserve">к постановлению Кабинета Министров </w:t>
      </w:r>
    </w:p>
    <w:p w:rsidR="00703CB2" w:rsidRPr="002C6D32" w:rsidRDefault="00703CB2" w:rsidP="00703CB2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2C6D32">
        <w:rPr>
          <w:rFonts w:ascii="Times New Roman" w:hAnsi="Times New Roman" w:cs="Times New Roman"/>
          <w:b w:val="0"/>
          <w:szCs w:val="26"/>
        </w:rPr>
        <w:t xml:space="preserve">Кыргызской Республики </w:t>
      </w:r>
    </w:p>
    <w:p w:rsidR="00703CB2" w:rsidRPr="002C6D32" w:rsidRDefault="00703CB2" w:rsidP="00703CB2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2C6D32">
        <w:rPr>
          <w:rFonts w:ascii="Times New Roman" w:hAnsi="Times New Roman" w:cs="Times New Roman"/>
          <w:b w:val="0"/>
          <w:szCs w:val="26"/>
        </w:rPr>
        <w:t>от ___________ ______ года № _____</w:t>
      </w:r>
    </w:p>
    <w:p w:rsidR="00703CB2" w:rsidRDefault="00703CB2" w:rsidP="00703CB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703CB2" w:rsidRDefault="00703CB2" w:rsidP="00703CB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703CB2" w:rsidRPr="00703CB2" w:rsidRDefault="00703CB2" w:rsidP="00703CB2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703CB2">
        <w:rPr>
          <w:rFonts w:ascii="Times New Roman" w:hAnsi="Times New Roman" w:cs="Times New Roman"/>
          <w:sz w:val="26"/>
          <w:szCs w:val="26"/>
        </w:rPr>
        <w:t>ПОРЯДОК</w:t>
      </w:r>
      <w:r w:rsidRPr="00703CB2">
        <w:rPr>
          <w:rFonts w:ascii="Times New Roman" w:hAnsi="Times New Roman" w:cs="Times New Roman"/>
          <w:sz w:val="26"/>
          <w:szCs w:val="26"/>
        </w:rPr>
        <w:br/>
        <w:t>оформления и применения счета-фактуры</w:t>
      </w:r>
    </w:p>
    <w:p w:rsidR="002C6D32" w:rsidRDefault="002C6D3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1. Общие положения</w:t>
      </w:r>
    </w:p>
    <w:p w:rsidR="00703CB2" w:rsidRPr="00703CB2" w:rsidRDefault="00703CB2" w:rsidP="002C6D32">
      <w:pPr>
        <w:spacing w:after="0" w:line="240" w:lineRule="auto"/>
        <w:ind w:left="1134" w:right="1134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Настоящий Порядок определяет процедуры оформления и применения счета-фактуры в виде электронного документа налогоплательщиками, применяющими счета-фактуры в виде электронного документа и на бумажном носителе.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2. В настоящем Порядке используются следующие термины и определения: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виртуальный склад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компонент информационной системы налогового администрирования Кыргызской Республики, позволяющий осуществлять учет товаров и электронных документов;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информационная система счетов-фактур в виде электронного документа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модуль информационной системы налогового администрирования Кыргызской Республики, используемой органами налоговой службы (далее - ИС ЭСФ);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налогоплательщик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субъект, обязанный применять счета-фактуры в виде электронного документа,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счет-фактура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Кыргызской Республики.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3. Термины и определения, используемые в настоящем Порядке, трактуются в значении, определенном настоящим Порядком. В случае отсутствия трактовки терминов и определений в настоящем Порядке, термины и определения трактуются в значении, определенном налоговым законодательством Кыргызской Республики и/или нормативными правовыми актами Евразийского экономического союза.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4. Виды счета-фактуры: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1) счет-фактура в виде электронного документа (далее - ЭСФ);</w:t>
      </w:r>
    </w:p>
    <w:p w:rsidR="00703CB2" w:rsidRPr="00703CB2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2) счет-фактура на бумажном носителе (далее - ЭСФ на бумажном носителе).</w:t>
      </w:r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g2"/>
      <w:bookmarkEnd w:id="0"/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2. Общие требования к оформлению счета-фактуры</w:t>
      </w:r>
    </w:p>
    <w:p w:rsidR="00703CB2" w:rsidRPr="00672819" w:rsidRDefault="00703CB2" w:rsidP="002C6D32">
      <w:pPr>
        <w:spacing w:after="0" w:line="240" w:lineRule="auto"/>
        <w:ind w:left="1134" w:right="1134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Стоимостные показатели, включая цену товара, работы, услуги, а также суммы налогов, указываются в счете-фактуре в национальной валюте Кыргызской Республики - в сомах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тыйынах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 При реализации (поставке) товара, работы/услуги на экспорт, стоимостные показатели (цена, стоимость, суммы налогов, а также общая стоимость товара, работы/услуги) указываются в счете-фактуре в национальной валюте.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во второй итоговой строке стоимостные показатели (стоимость и общая стоимость) указываются в валюте согласно заключенному договору (контракту).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7. Счет-фактура оформляется единым счетом-фактурой не позднее 10 рабочих дней месяца, следующего за предыдущим месяцем, на основе накопленной месячной учетной документации в соответствии с налоговой политикой, утвержденной налогоплательщиком: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случаях, предусмотренных статьей 178 Налогового кодекса Кыргызской Республики;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при безвозмездной реализации (поставке) товаров, работ и/или услуг населению в ходе рекламных акций;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при оказании платных услуг населению через банки/или ведении расчетов через электронный терминал и банкоматы.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8. В счет-фактуре, оформленном в случаях, предусмотренных пунктом 7 настоящего Порядка, не учитываются учетные документации, за которые были оформлены отдельные счета-фактуры по требованию покупателя.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9. ЭСФ, кроме обязательных реквизитов, установленных настоящим Порядком, может содержать дополнительную информацию.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При осуществлении поставки товара, включенного в Перечень маркируемых товаров и/или товаров, подлежащих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Евразийского экономического союза (далее - ЕАЭС), утверждаемый решением Евразийской экономической комиссии, оформляется отдельный счет-фактура.</w:t>
      </w:r>
    </w:p>
    <w:p w:rsidR="00703CB2" w:rsidRPr="00672819" w:rsidRDefault="00703CB2" w:rsidP="002C6D3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11. Счет-фактура не оформляется на остаток товарно-материальных запасов, основных средств и нематериальных активов, включенных в облагаемые поставки, при аннулировании регистрации как налогоплательщика налога на добавленную стоимость (далее - НДС), а также на поступившую предварительную оплату.</w:t>
      </w:r>
    </w:p>
    <w:p w:rsidR="00703CB2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g3"/>
      <w:bookmarkEnd w:id="1"/>
    </w:p>
    <w:p w:rsidR="00703CB2" w:rsidRP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3. Порядок заполнения формы счета-фактуры в виде электронного документа на товары</w:t>
      </w:r>
    </w:p>
    <w:p w:rsid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2" w:name="p1"/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1. Заполнение раздела 1 «Реквизиты поставщика и покупателя»</w:t>
      </w:r>
    </w:p>
    <w:p w:rsidR="00703CB2" w:rsidRPr="00672819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12. Ячейки 102 и 103 заполняются в автоматическом режиме ИС ЭСФ.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13. Ячейка 101 «Статус» заполняется ИС ЭСФ автоматически и может содержать одну из следующих записей: первоначальный (принят/отклонен), отозванный, корректировочный (принят/отклонен).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Статусы «новый» и «отправленный» являются промежуточными и означают что: «новый» - ЭСФ сформирован и не подписан поставщиком, «отправленный» - ЭСФ сформирован, подписан и отправлен поставщиком и еще не рассмотрен покупателем.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14. В ячейке 201 указывается идентификационный номер налогоплательщика (далее - ИНН) - поставщика товара, то есть организации или индивидуального предпринимателя (далее - ИП).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15. В ячейке 202 указываются следующие реквизиты поставщика: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1) полное наименование организации согласно договору (контракту), в случае если поставщиком является организация;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фамилия, имя и отчество ИП, в случае если поставщиком является ИП.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Данная ячейка должна быть также заполнена, если реализация (поставка) осуществляется филиалом поставщика.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этом, филиал вправе использовать отдельную электронную подпись, полученную в порядке, установленном законодательством Кыргызской Республики в сфере электронного управления и электронной подписи.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реализация (поставка) товара осуществляется самим поставщиком,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17. В ячейке 205 указывается юридический адрес или фактическое местонахождение поставщика товара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18. В ячейке 206 указываются код и наименование налогового органа по месту налоговой регистрации поставщика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19. В ячейке 207 указываются банковский идентификационный код  (далее - БИК), наименование банка, где поставщик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поставщик для оплаты поставки не использовал банковский счет,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20. В ячейке 208 указывается номер счета поставщика в банке. Данная ячейка не заполняется, если ячейка 207 не заполнена.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21. В ячейке 301 указывается ИНН покупателя товара, то есть организации, ИП или физического лица.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превышающих 14 знаков, указываются первые 14 (четырнадцать)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не превышающих 14 (четырнадцать) знаков, указывается имеющееся количество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у покупателя-нерезидента Кыргызской Республики отсутствует ИНН, или при оформлении реализации через контрольно-кассовые машины (далее - ККМ), цифра «9» указывается четырнадцать раз.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22. В ячейке 302 указываются следующие реквизиты покупателя: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полное наименование организации согласно договору (контракту), в случае если покупателем является организация;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фамилия, имя и отчество ИП либо физического лица, в случае если покупателем является ИП или физическое лицо.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оформлении ЭСФ для отражения реализации через ККМ указывается запись «ККМ».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23. В ячейках 303 и 304 указываются ИНН и наименование филиала покупателя, в случае если реализация (поставка) осуществляется в адрес филиала покупателя.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реализация (поставка) товара осуществляется в адрес самого покупателя, то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24. В ячейке 305 указывается юридический адрес или фактическое местонахождение покупателя товара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покупателем является нерезидент Кыргызской Республики, указывается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25. В ячейке 306 указываются код и наименование налогового органа по месту налоговой регистрации покупателя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отсутствии у покупателя - физического лица налоговой регистрации - указываются цифры «555».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ЭСФ оформляется покупателю-нерезиденту Кыргызской Республики, то в ячейке 306 указываются код и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26. В ячейке 307 указываются БИК и наименование банка, где покупатель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для оплаты поставки не использовался банковский счет покупателя,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27. В ячейке 308 указывается номер счета в банке. Данная ячейка не заполняется, если ячейка 307 не заполнена.</w:t>
      </w:r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3" w:name="p2"/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2. Заполнение раздела 2 «Информация о реализации»</w:t>
      </w: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28. В ячейке 401 указывается дата фактической реализации (поставки)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оформления корректировочного ЭСФ указывается дата корректировки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Например: налогоплательщик осуществил поставку с указанием в ЭСФ дату фактической поставки 20 августа, которую корректирует 15 сентября. В данном случае, в ячейке 401 корректировочного ЭСФ указывается дата корректировки поставки 15 сентября.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29. В ячейке 402 указывается вид реализации (поставки) товара: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облагаемая по ставке 12%;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облагаемая по ставке «0»;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освобожденная;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необлагаемая.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30. В ячейке 403 указывается форма оплаты: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безналичная: банковский платеж, товарообмен;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наличная;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в) безвозмездная;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31. В ячейке 404 указывается номер из учетной бухгалтерской системы налогоплательщика, или иная информация необходимая налогоплательщику для удобства работы с ЭСФ.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32. В ячейке 405 указываются дата и номер договора (контракта), на основании которого осуществляется реализация (поставка) товара, при его наличии.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33. Ячейки 406 и 407 заполняются в случае оформления корректировочного ЭСФ для проведения корректировки стоимости поставки при изменении условий сделки, то есть при: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полном или частичном возврате товара; 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2) изменении цены;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возврате оплаты за товар.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34. При оформлении ЭСФ, в случае, указанном в пункте 33 настоящего Порядка, должны быть указаны: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номер оформления ЭСФ, к которому оформляется корректировочный ЭСФ, а также причины корректировки;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наименование товаров, по которым корректируется поставка;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размер корректировки количественных и стоимостных показателей, предусмотренных в ЭСФ, в зависимости от причин корректировки размера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корректировка поставки производится в сторону уменьшения, то размеры количественных и стоимостных показателей указываются со знаком минус «-», если в сторону увеличения - без знака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полном или частичном возврате товаров или оплаты за товар размеры количественных и стоимостных показателей указываются со знаком минус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Корректировочный ЭСФ оформляется исключительно к первоначальному ЭСФ, оформленному при осуществлении поставки. Не подлежат корректировке показатели корректировочного ЭСФ.</w:t>
      </w:r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4" w:name="p3"/>
    </w:p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3. Заполнение раздела 3 «Информация о товаре»</w:t>
      </w: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35. В разделе 3 ЭСФ указываются: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код валюты и официальный курс валюты Национального банка Кыргызской Республики на день оформления ЭСФ, при поставке товаров на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отметка в ячейке «товар, подлежащий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при реализации (поставке) товара, подлежащего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праву ЕАЭС и/или налогового законодательства Кыргызской Республики;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графе «№ п/п» - порядковый номер строки;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графе «Код товара» - без пробелов код товарной позиции согласно справочнику товаров в ИС ЭСФ, с количеством знаков не менее десяти;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графе «Наименование товара» - наименование поставляемого товара;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графе «Единица измерения» - единица измерения товара. Единица измерения указывается согласно справочнику товаров в ИС ЭСФ;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7) в графе «Цена за единицу» - цена за единицу товара;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8) в графе «Количество (объем)» - количество или объем товара;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9) в графе «Стоимость товара без НДС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стоимость товара без учета НДС и налога с продаж (далее -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10) в подграфах «Ставка», «Сумма» графы «НДС» - размер ставки и суммы НДС, соответственно. Итоговая сумма по подграфе «Сумма» заполняется, если товар подлежит налогообложению НДС;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поставки товаров одному покупателю с применением различных ставок НДС облагаемым субъектом оформляется ЭСФ отдельно по каждой ставке НДС.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11) в подграфах «Ставка», «Сумма» графы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размер ставки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суммы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соответственно. Итоговая сумма по подграфе «Сумма» заполняется, если товар подлежит налогообложению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случае поставки товаров одному покупателю с применением различных ставок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облагаемым субъектом оформляется ЭСФ отдельно по каждой ставке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12) в графе «Общая стоимость товара» - общая стоимость товара.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36. В случае осуществления реализации (поставок) товаров, освобожденных или необлагаемых НДС и/или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подграфах «Ставка» и «Сумма» граф «НДС» и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указывается цифра «0».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37. Графа «Реквизиты таможенной декларации или ЭСФ» заполняется при реализации товаров подлежащих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правом ЕАЭС и/или Кыргызской Республики. В данной графе в обязательном порядке указываются: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либо регистрационный номер таможенной декларации, согласно которой осуществлен выпуск в свободное обращение товара, импортированного из стран, не являющихся государствами-членами ЕАЭС;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либо номер ЭСФ, согласно которому товар был приобретен налогоплательщиком, осуществляющим оборот товара, включенного в Перечень товаров, подлежащих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ЕАЭС;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номер строки в таможенной декларации, в которой указан ввезенный товар.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реализации товара, не подлежащего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, данная графа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38. ЭСФ должен быть подписан электронной подписью согласно требованиям налогового законодательства, законодательства об электронной подписи руководителем организации или ИП, или бухгалтером, или налоговым представителем, уполномоченным представлять интересы налогоплательщика на основании доверенности.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39. В ячейке 450 указываются фамилия, имя и отчество руководителя организации или ИП, или бухгалтера, или налогового представителя.</w:t>
      </w:r>
    </w:p>
    <w:p w:rsidR="00703CB2" w:rsidRPr="00703CB2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5" w:name="g4"/>
      <w:bookmarkEnd w:id="5"/>
    </w:p>
    <w:p w:rsidR="00703CB2" w:rsidRP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4. Порядок заполнения формы счета-фактуры в виде электронного документа на работы и/или услуги</w:t>
      </w:r>
    </w:p>
    <w:bookmarkEnd w:id="2"/>
    <w:p w:rsid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1. Заполнение раздела 1 «Реквизиты поставщика и покупателя»</w:t>
      </w:r>
    </w:p>
    <w:p w:rsidR="00703CB2" w:rsidRPr="00672819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40. Ячейки 102 и 103 заполняются в автоматическом режиме ИС ЭСФ.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41. Ячейка 101 «Статус» заполняется ИС ЭСФ автоматически и содержит одну из следующих записей: первоначальный (принят/отклонен), отозванный, корректировочный (принят/отклонен).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Статусы «новый» и «отправленный» являются промежуточными и означают, что: «новый» - ЭСФ сформирован и не подписан поставщиком, «отправленный» - ЭСФ сформирован, подписан и отправлен поставщиком и еще не рассмотрен покупателем.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42. В ячейке 201 указывается ИНН поставщика работы и/или услуги, то есть организации или ИП.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43. В ячейке 202 указывается полное наименование организации в соответствии с учредительными документами или фамилия, имя и отчество ИП.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44. 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Если реализация (поставка) работы и/или услуги осуществляется самим поставщиком, то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45. В ячейке 205 указывается юридический адрес или фактическое местонахождение поставщика работы и/или услуги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46. В ячейке 206 указываются код и наименование налогового органа по месту налоговой регистрации поставщика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47. В ячейке 207 указываются БИК и наименование банка, где поставщик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поставщик для оплаты по данной поставке не использовал банковский счет,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48. В ячейке 208 указывается номер счета поставщика в банке. Данная ячейка не заполняется, если ячейка 207 не заполнена.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49. В ячейке 301 указывается ИНН покупателя работы и/или услуги, то есть организации, ИП или физического лица.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превышающих 14 знаков, указываются первые 14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ИНН покупателя-нерезидента Кыргызской Республики состоит из цифровых обозначений, не превышающих 14 знаков, указывается имеющееся количество знаков.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у покупателя-нерезидента Кыргызской Республики отсутствует ИНН, или при оформлении ЭСФ на услуги, реализованные через ККМ, цифра «9» указывается четырнадцать раз.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50. В ячейке 302 указываются следующие реквизиты покупателя: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полное наименование организации согласно договору (контракту), если покупателем является организация;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фамилия, имя и отчество ИП либо физического лица, если покупателем является ИП или физическое лицо;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при оформлении ЭСФ для отражения реализации через ККМ указывается запись «ККМ».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51. В ячейках 303 и 304 указываются ИНН и наименование филиала покупателя, если реализация (поставка) осуществляется в адрес филиала покупателя.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реализация (поставка) работы и/или услуги осуществляется в адрес самого покупателя, то данные ячейки не заполняются.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52. В ячейке 305 указывается юридический адрес или фактическое местонахождение покупателя работы и/или услуги (наименование населенного пункта, улицы, номер дома, офиса, квартиры и т.д.).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покупателем является нерезидент Кыргызской Республики, указывается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53. В ячейке 306 указываются код и наименование налогового органа по месту налоговой регистрации покупателя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отсутствии у покупателя - физического лица налоговой регистрации – указываются цифры «555».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ЭСФ оформляется покупателю-нерезиденту Кыргызской Республики, то в ячейке 306 указываются код и наименование страны.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54. В ячейке 307 указываются БИК и наименование банка, где покупатель имеет счет.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случае, если для оплаты по данной поставке не использовался банковский счет покупателя, то ячейка не заполняется.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55. В ячейке 308 указывается номер счета в банке. Данная ячейка не заполняется, если ячейка 307 не заполнена.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3"/>
    <w:p w:rsid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2. Заполнение раздела 2 «Информация о реализации»</w:t>
      </w:r>
    </w:p>
    <w:p w:rsidR="00703CB2" w:rsidRPr="00672819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56. В ячейке 401 указывается дата реализации (поставки) работы и/или услуги согласно договору (контракту).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оформления корректировочного ЭСФ указывается дата корректировки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Например: налогоплательщик осуществил поставку с указанием в ЭСФ даты поставки 20 августа, которую корректирует 15 сентября. В данном случае, в ячейке 401 корректировочного ЭСФ указывается дата корректировки поставки 15 сентября.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57. В ячейке 402 указывается вид реализации (поставки) работы и/или услуги: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облагаемая 12%;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облагаемая по ставке «0»;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освобожденная;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необлагаемая.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58. В ячейке 403 указывается форма оплаты: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безналичная: банковский платеж, товарообмен;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наличная;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безвозмездная.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59. В ячейке 404 указываются дата и номер договора (контракта), на основании которого осуществляется данная реализация (поставка) работы и/или услуги, при его наличии.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60. Ячейки 405 и 406 заполняются в случае оформления корректировочного ЭСФ для проведения корректировки стоимости поставки при изменении условий сделки, то есть при: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изменении цены;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отказе от выполненных работ и/или оказанных услуг;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возврате оплаты за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61. При оформлении ЭСФ в случае, указанном в пункте 60 настоящего Порядка, в обязательном порядке должны быть указаны: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номер, дата оформления ЭСФ, к которому оформляется корректировочный ЭСФ, а также причины корректировки;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наименование работ и услуг, по которым корректируется поставка;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размер корректировки количественных и стоимостных показателей, предусмотренных в ЭСФ, в зависимости от причин корректировки размера поставки.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корректировка поставки производится в сторону уменьшения, то размеры количественных и стоимостных показателей указываются со знаком минус «-», если в сторону увеличения – без знака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отказе и/или возврате оплаты от/за работы и/или услуги размеры количественных и стоимостных показателей указываются со знаком минус «-».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Корректировочный ЭСФ оформляется исключительно к первоначальному ЭСФ, оформленному при осуществлении поставки. Не подлежат корректировке показатели корректировочного ЭСФ.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62. В ячейке 407 указывается номер из учетной бухгалтерской системы налогоплательщика, или иная информация, необходимая налогоплательщику для удобства работы с ЭСФ.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4"/>
    <w:p w:rsidR="00703CB2" w:rsidRDefault="00703CB2" w:rsidP="00703CB2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3. Заполнение раздела 3 «Информация о работе и/или услуге»</w:t>
      </w:r>
    </w:p>
    <w:p w:rsidR="00703CB2" w:rsidRPr="00672819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63. В разделе 3 ЭСФ указываются: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1) код валюты и официальный курс валюты Национального банка Кыргызской Республики на день оформления ЭСФ, при поставке работ/услуг на экспорт;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графе «№ п/п» - порядковый номер строки;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графе «Код работы и/или услуги» - код работы или услуги на уровне четырех знаков согласно справочнику работ и/или услуг в ИС ЭСФ;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графе «Наименование работы и/или услуги» - наименование работы и/или услуги;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графе «Единица измерения» - единица измерения работы и/или услуги. Единица измерения указывается согласно справочнику работ и/или услуг в ИС ЭСФ;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графе «Цена за единицу» - цена за единицу работы и/или услуги;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7) в графе «Количество (объем)» - количество или объем работы и/или услуги;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в графе «Стоимость работы и/или услуги без НДС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стоимость работы и/или услуги без учета НДС 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9) в подграфах «Ставка», «Сумма» графы «НДС» - размер ставки и суммы НДС, соответственно. Итоговая сумма по подграфе «Сумма» заполняется, если работа и/или услуга подлежит налогообложению НДС;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поставки работ и/или услуг одному покупателю с применением различных ставок НДС облагаемым субъектом оформляется ЭСФ отдельно по каждой ставке НДС;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10) в подграфах «Ставка», «Сумма» графы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размер ставки и суммы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соответственно. Итоговая сумма по подграфе «Сумма» заполняется, если работа и/или услуга подлежит налогообложению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поставки работ и/или услуг одному покупателю с применением различных ставок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облагаемым субъектом оформляется ЭСФ отдельно по каждой ставке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11) в графе «Общая стоимость работы и/или услуги» - общая стоимость работы и/или услуги.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64. В случае осуществления реализации (поставок) работ и/или услуг, освобожденных или необлагаемых НДС и/или 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подграфах «Ставка» и «Сумма» граф «НДС» и «</w:t>
      </w:r>
      <w:proofErr w:type="spellStart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</w:t>
      </w:r>
      <w:proofErr w:type="spellEnd"/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указывается цифра «0».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65. ЭСФ должен быть подписан электронной подписью согласно требованиям налогового законодательства, законодательства об электронной подписи руководителем организации или ИП или бухгалтером, или налоговым </w:t>
      </w: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представителем, уполномоченным представлять интересы налогоплательщика на основании доверенности.</w:t>
      </w:r>
    </w:p>
    <w:p w:rsidR="00703CB2" w:rsidRPr="00672819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819">
        <w:rPr>
          <w:rFonts w:ascii="Times New Roman" w:eastAsia="Times New Roman" w:hAnsi="Times New Roman" w:cs="Times New Roman"/>
          <w:sz w:val="26"/>
          <w:szCs w:val="26"/>
          <w:lang w:eastAsia="ru-RU"/>
        </w:rPr>
        <w:t>66. В ячейке 450 указываются фамилия, имя и отчество руководителя организации или ИП, или бухгалтера, или налогового представителя.</w:t>
      </w:r>
    </w:p>
    <w:p w:rsidR="00703CB2" w:rsidRPr="00703CB2" w:rsidRDefault="00703CB2" w:rsidP="00703CB2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6" w:name="g5"/>
      <w:bookmarkEnd w:id="6"/>
    </w:p>
    <w:p w:rsidR="00703CB2" w:rsidRDefault="00703CB2" w:rsidP="00703CB2">
      <w:pPr>
        <w:spacing w:after="0" w:line="240" w:lineRule="auto"/>
        <w:ind w:left="709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5. Порядок заполнения формы счета-фактуры на бумажном носителе на товары, а также на работы и/или услуги</w:t>
      </w:r>
    </w:p>
    <w:p w:rsidR="00703CB2" w:rsidRPr="00703CB2" w:rsidRDefault="00703CB2" w:rsidP="00703CB2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67. В ячейке 102 указывается номер ЭСФ на бумажном носителе, выданный налоговым органом в установленном порядке.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68. В ячейке 103 указывается дата оформления ЭСФ на бумажном носителе.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69. Остальные разделы ЭСФ на бумажном носителе заполняются в соответствии с главами 3 и 4</w:t>
      </w:r>
      <w:r w:rsidRPr="00703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Порядка.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70. ЭСФ на бумажном носителе должен быть подписан руководителем организации или ИП, или бухгалтером, или уполномоченным лицом.</w:t>
      </w:r>
    </w:p>
    <w:p w:rsidR="00703CB2" w:rsidRPr="00703CB2" w:rsidRDefault="00703CB2" w:rsidP="00703CB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71. ЭСФ на бумажном носителе заверяется печатью организации, ИП - при ее наличии.</w:t>
      </w:r>
    </w:p>
    <w:p w:rsidR="00E7728E" w:rsidRPr="00703CB2" w:rsidRDefault="00703CB2" w:rsidP="00793F4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72. Облагаемые субъекты, оказывающие услуги электросвязи, </w:t>
      </w:r>
      <w:proofErr w:type="spellStart"/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теплоэнергии</w:t>
      </w:r>
      <w:proofErr w:type="spellEnd"/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, электроэнергии, водоснабжения, канализации, а также другие субъекты, оформляющие (выписывающие) ежемесячно более 500</w:t>
      </w:r>
      <w:bookmarkStart w:id="7" w:name="_GoBack"/>
      <w:bookmarkEnd w:id="7"/>
      <w:r w:rsidRPr="00703CB2">
        <w:rPr>
          <w:rFonts w:ascii="Times New Roman" w:eastAsia="Times New Roman" w:hAnsi="Times New Roman" w:cs="Times New Roman"/>
          <w:sz w:val="26"/>
          <w:szCs w:val="26"/>
          <w:lang w:eastAsia="ru-RU"/>
        </w:rPr>
        <w:t>0 счетов-фактур, могут проставлять факсимиле на ЭСФ на бумажном носителе.</w:t>
      </w:r>
    </w:p>
    <w:sectPr w:rsidR="00E7728E" w:rsidRPr="00703CB2" w:rsidSect="00EE0CD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BDA" w:rsidRDefault="00682BDA" w:rsidP="009A7D42">
      <w:pPr>
        <w:spacing w:after="0" w:line="240" w:lineRule="auto"/>
      </w:pPr>
      <w:r>
        <w:separator/>
      </w:r>
    </w:p>
  </w:endnote>
  <w:endnote w:type="continuationSeparator" w:id="0">
    <w:p w:rsidR="00682BDA" w:rsidRDefault="00682BDA" w:rsidP="009A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2664427"/>
      <w:docPartObj>
        <w:docPartGallery w:val="Page Numbers (Bottom of Page)"/>
        <w:docPartUnique/>
      </w:docPartObj>
    </w:sdtPr>
    <w:sdtContent>
      <w:p w:rsidR="009A7D42" w:rsidRDefault="009A7D4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BDA" w:rsidRDefault="00682BDA" w:rsidP="009A7D42">
      <w:pPr>
        <w:spacing w:after="0" w:line="240" w:lineRule="auto"/>
      </w:pPr>
      <w:r>
        <w:separator/>
      </w:r>
    </w:p>
  </w:footnote>
  <w:footnote w:type="continuationSeparator" w:id="0">
    <w:p w:rsidR="00682BDA" w:rsidRDefault="00682BDA" w:rsidP="009A7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71"/>
    <w:rsid w:val="0025148E"/>
    <w:rsid w:val="002C6D32"/>
    <w:rsid w:val="00343D50"/>
    <w:rsid w:val="00560293"/>
    <w:rsid w:val="00672819"/>
    <w:rsid w:val="00682BDA"/>
    <w:rsid w:val="006C1271"/>
    <w:rsid w:val="00703CB2"/>
    <w:rsid w:val="00793F43"/>
    <w:rsid w:val="009A7D42"/>
    <w:rsid w:val="00A56C44"/>
    <w:rsid w:val="00CB52AC"/>
    <w:rsid w:val="00D02505"/>
    <w:rsid w:val="00D9259C"/>
    <w:rsid w:val="00E4014A"/>
    <w:rsid w:val="00E7728E"/>
    <w:rsid w:val="00ED64AC"/>
    <w:rsid w:val="00E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127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C127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C12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6C12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C12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1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2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7D42"/>
  </w:style>
  <w:style w:type="paragraph" w:styleId="a8">
    <w:name w:val="footer"/>
    <w:basedOn w:val="a"/>
    <w:link w:val="a9"/>
    <w:uiPriority w:val="99"/>
    <w:unhideWhenUsed/>
    <w:rsid w:val="009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7D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127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C127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C12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6C127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C127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C12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1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2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7D42"/>
  </w:style>
  <w:style w:type="paragraph" w:styleId="a8">
    <w:name w:val="footer"/>
    <w:basedOn w:val="a"/>
    <w:link w:val="a9"/>
    <w:uiPriority w:val="99"/>
    <w:unhideWhenUsed/>
    <w:rsid w:val="009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7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3445</Words>
  <Characters>19640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kab-38_6</cp:lastModifiedBy>
  <cp:revision>6</cp:revision>
  <cp:lastPrinted>2021-12-22T07:32:00Z</cp:lastPrinted>
  <dcterms:created xsi:type="dcterms:W3CDTF">2021-11-12T09:10:00Z</dcterms:created>
  <dcterms:modified xsi:type="dcterms:W3CDTF">2021-12-22T07:32:00Z</dcterms:modified>
</cp:coreProperties>
</file>